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СОВЕТ НАРОДНЫХ ДЕПУТАТОВ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ПАРИЖСКОКОММУНСКОГО СЕЛЬСКОГО ПОСЕЛЕНИЯ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ВЕРХНЕХАВСКОГО МУНИЦИПАЛЬНОГО РАЙОНА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ВОРОНЕЖСКОЙ ОБЛАСТИ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2015-2020г.г.»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реализации Федерального закона от 06.10.2003г. № 131- ФЗ «Об общих принципах организации местного самоуправления в Российской Федерации» и 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Совет народных депутатов Парижскокоммунского сельского поселения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программу «Комплексное развитие систем коммунальной инфраструктуры Парижскокоммунского сельского поселения Верхнехавского муниципального района на 2015-2020г.г.», согласно приложению.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данного решения оставляю за собой.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                                                        С.М.Савченко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Совет народных депутатов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№   29 -V-СНД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от 01.01.2016</w:t>
      </w:r>
    </w:p>
    <w:p w:rsidR="00CE2272" w:rsidRDefault="00CE2272" w:rsidP="00CE2272">
      <w:r>
        <w:rPr>
          <w:color w:val="212121"/>
          <w:sz w:val="21"/>
          <w:szCs w:val="21"/>
        </w:rPr>
        <w:br/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01.01.2016г. № 29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ПРОГРАММА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«КОМПЛЕКСНОЕ РАЗВИТИЕ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СИСТЕМ КОММУНАЛЬНОЙ ИНФРАСТРУКТУРЫ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 ВЕРХНЕХАВСКОГО МУНИЦИПАЛЬНОГО РАЙОНА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ПЕРИОД 2015 г.- 2020 г.»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ПАРИЖСКАЯ КОММУНА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2015 г.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СОДЕРЖАНИЕ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5" w:anchor="_Toc306703601" w:history="1">
        <w:r>
          <w:rPr>
            <w:rStyle w:val="a4"/>
            <w:color w:val="A32925"/>
            <w:sz w:val="21"/>
            <w:szCs w:val="21"/>
          </w:rPr>
          <w:t>Введение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6" w:anchor="_Toc306703602" w:history="1">
        <w:r>
          <w:rPr>
            <w:rStyle w:val="a4"/>
            <w:color w:val="A32925"/>
            <w:sz w:val="21"/>
            <w:szCs w:val="21"/>
          </w:rPr>
          <w:t>Часть 1. Программный документ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7" w:anchor="_Toc306703603" w:history="1">
        <w:r>
          <w:rPr>
            <w:rStyle w:val="a4"/>
            <w:color w:val="A32925"/>
            <w:sz w:val="21"/>
            <w:szCs w:val="21"/>
          </w:rPr>
          <w:t>Раздел 1.1. Паспорт программы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8" w:anchor="_Toc306703604" w:history="1">
        <w:r>
          <w:rPr>
            <w:rStyle w:val="a4"/>
            <w:color w:val="A32925"/>
            <w:sz w:val="21"/>
            <w:szCs w:val="21"/>
          </w:rPr>
          <w:t>Раздел 1.2. Характеристика существующего состояния коммунальной инфраструктуры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9" w:anchor="_Toc306703605" w:history="1">
        <w:r>
          <w:rPr>
            <w:rStyle w:val="a4"/>
            <w:color w:val="A32925"/>
            <w:sz w:val="21"/>
            <w:szCs w:val="21"/>
          </w:rPr>
          <w:t>1.2.1. Электроснабжение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0" w:anchor="_Toc306703606" w:history="1">
        <w:r>
          <w:rPr>
            <w:rStyle w:val="a4"/>
            <w:color w:val="A32925"/>
            <w:sz w:val="21"/>
            <w:szCs w:val="21"/>
          </w:rPr>
          <w:t>1.2.2. Газоснабжение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1" w:anchor="_Toc306703607" w:history="1">
        <w:r>
          <w:rPr>
            <w:rStyle w:val="a4"/>
            <w:color w:val="A32925"/>
            <w:sz w:val="21"/>
            <w:szCs w:val="21"/>
          </w:rPr>
          <w:t>1.2.3. Теплоснабжение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2" w:anchor="_Toc306703608" w:history="1">
        <w:r>
          <w:rPr>
            <w:rStyle w:val="a4"/>
            <w:color w:val="A32925"/>
            <w:sz w:val="21"/>
            <w:szCs w:val="21"/>
          </w:rPr>
          <w:t>1.2.4. Водоснабжение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3" w:anchor="_Toc306703610" w:history="1">
        <w:r>
          <w:rPr>
            <w:rStyle w:val="a4"/>
            <w:color w:val="A32925"/>
            <w:sz w:val="21"/>
            <w:szCs w:val="21"/>
          </w:rPr>
          <w:t>Раздел 1.3. Целевые показатели развития коммунальной инфраструктуры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4" w:anchor="_Toc306703611" w:history="1">
        <w:r>
          <w:rPr>
            <w:rStyle w:val="a4"/>
            <w:color w:val="A32925"/>
            <w:sz w:val="21"/>
            <w:szCs w:val="21"/>
          </w:rPr>
          <w:t>Раздел 1.4. Программы инвестиционных проектов, обеспечивающих достижение целевых показателей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5" w:anchor="_Toc306703612" w:history="1">
        <w:r>
          <w:rPr>
            <w:rStyle w:val="a4"/>
            <w:color w:val="A32925"/>
            <w:sz w:val="21"/>
            <w:szCs w:val="21"/>
          </w:rPr>
          <w:t>Раздел 1.5. Источники инвестиций, тарифы и доступность программы для населения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6" w:anchor="_Toc306703613" w:history="1">
        <w:r>
          <w:rPr>
            <w:rStyle w:val="a4"/>
            <w:color w:val="A32925"/>
            <w:sz w:val="21"/>
            <w:szCs w:val="21"/>
          </w:rPr>
          <w:t>1.5.1. Источники инвестиций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7" w:anchor="_Toc306703616" w:history="1">
        <w:r>
          <w:rPr>
            <w:rStyle w:val="a4"/>
            <w:color w:val="A32925"/>
            <w:sz w:val="21"/>
            <w:szCs w:val="21"/>
          </w:rPr>
          <w:t>Часть 2. Обосновывающие материалы к программному документу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8" w:anchor="_Toc306703617" w:history="1">
        <w:r>
          <w:rPr>
            <w:rStyle w:val="a4"/>
            <w:color w:val="A32925"/>
            <w:sz w:val="21"/>
            <w:szCs w:val="21"/>
          </w:rPr>
          <w:t>Раздел 2.1. Характеристика состояния и проблем системы водоснабжения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9" w:anchor="_Toc306703618" w:history="1">
        <w:r>
          <w:rPr>
            <w:rStyle w:val="a4"/>
            <w:color w:val="A32925"/>
            <w:sz w:val="21"/>
            <w:szCs w:val="21"/>
          </w:rPr>
          <w:t>Раздел 2.2. Целевые показатели развития системы водоснабжения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0" w:anchor="_Toc306703619" w:history="1">
        <w:r>
          <w:rPr>
            <w:rStyle w:val="a4"/>
            <w:color w:val="A32925"/>
            <w:sz w:val="21"/>
            <w:szCs w:val="21"/>
          </w:rPr>
          <w:t>2.2.1. Надежность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1" w:anchor="_Toc306703620" w:history="1">
        <w:r>
          <w:rPr>
            <w:rStyle w:val="a4"/>
            <w:color w:val="A32925"/>
            <w:sz w:val="21"/>
            <w:szCs w:val="21"/>
          </w:rPr>
          <w:t>2.2.2. Доступность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2" w:anchor="_Toc306703621" w:history="1">
        <w:r>
          <w:rPr>
            <w:rStyle w:val="a4"/>
            <w:color w:val="A32925"/>
            <w:sz w:val="21"/>
            <w:szCs w:val="21"/>
          </w:rPr>
          <w:t>2.2.3. Обеспечение экологических требований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3" w:anchor="_Toc306703622" w:history="1">
        <w:r>
          <w:rPr>
            <w:rStyle w:val="a4"/>
            <w:color w:val="A32925"/>
            <w:sz w:val="21"/>
            <w:szCs w:val="21"/>
          </w:rPr>
          <w:t>Раздел 2.3. Мероприятия Программы по энергосбережению и повышению энергетической эффективности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4" w:anchor="_Toc306703623" w:history="1">
        <w:r>
          <w:rPr>
            <w:rStyle w:val="a4"/>
            <w:color w:val="A32925"/>
            <w:sz w:val="21"/>
            <w:szCs w:val="21"/>
          </w:rPr>
          <w:t>Раздел 2.4. Организация реализации проектов</w:t>
        </w:r>
      </w:hyperlink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5" w:anchor="_Toc306703625" w:history="1">
        <w:r>
          <w:rPr>
            <w:rStyle w:val="a4"/>
            <w:color w:val="A32925"/>
            <w:sz w:val="21"/>
            <w:szCs w:val="21"/>
          </w:rPr>
          <w:t>Раздел 2.5. Расчет эффективности внедрения мероприятий Программы</w:t>
        </w:r>
      </w:hyperlink>
    </w:p>
    <w:p w:rsidR="00CE2272" w:rsidRDefault="00CE2272" w:rsidP="00CE2272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Введение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Парижскокоммунское сельское поселение расположено в юго-западной части Верхнехавского района: с севера граничит с Малоприваловским сельским поселением, с востока со Спасским сельским поселением Верхнехавского района и Новоусманским районом Воронежской области, с юга с Новоусманским районом Воронежской области, с запада с Углянским сельским поселением Верхнехавского района и с Рамонским районом Воронежской области.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Общая площадь территории составляет 88,1 кв. км.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начальной точки граница проходит в северо-восточном направлении, пересекая автомобильную дорогу и ручей по границе с землями Малоприваловского сельского поселения. Затем граница поворачивает на юг и идет вдоль лесополосы по границе с землями Спасского сельского поселения , на протяжении 1,5 км. Далее проходит по границе с землями СПХ «Труд» Новоусманского района пересекая б. Тонкая, двигаясь в юго-западном направлении граничит с землями ТОО «Артамоновское» Новоусманского района , ур. Ростоши Воронежского мехлесхоза. Потом проходит по границе с землями СХП «Орлово» Новоусманского района, пересекая Цыганский лог. Далее идет по границе с землями п. Воля Новоусманского района, поворачивая на восток граничит с землями Рамонского района. Двигаясь в северо-восточном направлении, граничит с землями Углянского сельского поселения , проходя по границе с ур. Сычево, вдоль р. Усмань.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поселения расположены три населенных пункта: с. Парижская Коммуна, с. Никоново, с. Забугорье и общее число домохозяйств 797единиц.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Основными видами хозяйственной деятельности на территории Спасского поселения является сельское хозяйство, оптовая и розничная торговля, здравоохранение, предоставление социальных услуг, предоставление прочих коммунальных, социальных персональных услуг.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поселения находится 1 памятник погибшим односельчанам.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1. Программный документ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 г. № 204, представлен краткий анализ существующего состояния коммунальных систем в Парижскокоммунском сельском поселении и основополагающие положения Программы.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1.1. 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786"/>
      </w:tblGrid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«Комплексное развитие систем коммунальной инфраструктуры Парижскокоммунского сельского поселения на период 2015 г. – 2020 г.»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 Приказ Минрегиона РФ от 06.05.2011 г.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 Генеральный план развития Парижскокоммунского сельского поселения на период до 2020 года;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Муниципальное образование - Парижскокоммунское сельское поселение Верхнехавского района Воронежской области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Администрация Парижскокоммунского сельского поселения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§     повышение эффективности функционирования системы водоснабжения;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§     обеспечение доступности водоснабжения для потребителей;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v    повышение качества водоснабжения;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v    обеспечение надежности функционирования системы водоснабжения;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v    внедрение новой техники, современных материалов;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Важнейшие целевые показатели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§    надежность (бесперебойность) снабжения потребителей предоставляемыми коммунальными услугами;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§    доступность коммунальных услуг для потребителей;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§    повышение энергоэффективности;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§    обеспечение экологических требований.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Сроки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2015 г. – 2020 г.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Объем финансирования Программы составляет 2290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 т.ч. по периодам: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2016 г.-2017 г. – 260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2017 г.-2018 г. – 270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2018 г.- 2019 г. – 280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2019 г.- 2020 г. – 290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Источники финансирования: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·                   местный бюджет - 1100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·                   внебюджетные источники – 1190тыс. 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2016 г.-2017 г. – 290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2017 г.-2018 г. – 295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2018 г.- 2019 г. – 300 тыс.руб.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2019 г.- 2020 г. – 305 тыс.руб.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Эффективность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Общая эффективность – 205.9 тыс.руб. в т.ч.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бюджетная эффективность – 68.7 т. р.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социальная эффективность – 88.1 т. р.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экономическая эффективность – 49.1 т. р.</w:t>
            </w:r>
          </w:p>
        </w:tc>
      </w:tr>
    </w:tbl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Раздел 1.2. Характеристика существующего состояния коммунальной инфраструктуры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1.2.1. Электроснабжение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Основная цель разработки настоящего раздела ГП - обеспечение оптимального развития энергосистемы Парижскокоммунского сельского поселения, взаимоувязанного с его территориально-планировочным развитием.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Парижскокоммунское сельское поселение состоит из с. Парижская Коммуна, с. Никоново, с. Забугорье. Поселение Парижскокоммунское электрофицированно. В нём располагается                          25 КТП 10/04 кВ общей мощностью 3250 кВА. Общая протяжённость сетей 04 кВ составляет 32,6 км, провод А-35, А-25, А-16, опоры железобетонные.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1.2.2. Газоснабжение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Источником газоснабжения Парижскокоммунского сельского поселения является природный газ, поступающий по ответвлению от Верхнехавской ГРС на газорегуляторные пункты. В с. Парижская Коммуна, с. Никоново и с. Забугорье   расположены газораспределительные пункты высокого давления.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1.2.3. Теплоснабжение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проводимой в настоящее время газификацией Парижскокоммунского сельского поселения вопрос отопления жилого фонда, объекты соцкультбыта переведены с источников теплоснабжения на газовое топливо.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Отопление школы в селе Парижская Коммуна осуществляется от газифицированной блочной котельной, а жилой фонд от поквартирных источников теплоснабжения.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в с. Парижская Коммуна, с. Никоново и с. Забугорье уже построены 41 км 5 м внутрипоселковых сетей среднего и низкого давления.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1.2.4. Водоснабжение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организация и ответственность за водоснабжение Парижскокоммунского сельского поселения лежит на МУП «Водник».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Источником водоснабжения являются подземные воды.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Служба водопроводного хозяйства включает в себя эксплуатацию и обслуживание щита управления насосом и сетей протяженностью 7 км. Общая производительность водозаборов составляет 31 куб.м./сут. Качество питьевой воды соответствует СанПиН 2.1.4.1074-01.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Парижскокоммунского сельского поселения действуют 1 скважина. Основным оборудованием являются погружные насосы ЭЦВ-6-110.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Система централизованной канализации в Парижскокоммунском сельском поселении отсутствует. Канализование зданий, имеющих внутреннюю канализацию, происходит в выгребы с последующим вывозом спецтехникой на ТБО, находящиеся на территории сельского поселения.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Характеристика водопровода Парижскокоммунского сельского поселения представлена в таблице № 2.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Таблица № 2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Характеристика водопровода</w:t>
      </w:r>
    </w:p>
    <w:p w:rsidR="00CE2272" w:rsidRDefault="00CE2272" w:rsidP="00CE2272">
      <w:pPr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93"/>
        <w:gridCol w:w="742"/>
        <w:gridCol w:w="533"/>
        <w:gridCol w:w="1759"/>
        <w:gridCol w:w="1332"/>
        <w:gridCol w:w="1287"/>
        <w:gridCol w:w="463"/>
        <w:gridCol w:w="549"/>
        <w:gridCol w:w="395"/>
        <w:gridCol w:w="898"/>
      </w:tblGrid>
      <w:tr w:rsidR="00CE2272" w:rsidTr="00CE227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Скважины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Насосы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Сети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Накопительные емкости</w:t>
            </w:r>
          </w:p>
        </w:tc>
      </w:tr>
      <w:tr w:rsidR="00CE2272" w:rsidTr="00CE22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Глубина,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Марка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Производительность, м</w:t>
            </w:r>
            <w:r>
              <w:rPr>
                <w:color w:val="212121"/>
                <w:sz w:val="16"/>
                <w:szCs w:val="16"/>
                <w:vertAlign w:val="superscript"/>
              </w:rPr>
              <w:t>3</w:t>
            </w:r>
            <w:r>
              <w:rPr>
                <w:color w:val="212121"/>
                <w:sz w:val="21"/>
                <w:szCs w:val="21"/>
              </w:rPr>
              <w:t>/сут.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Протяженность, 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Материал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Год ввода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Износ,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Износ, %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С. Парижская Коммуна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ЭЦВ 6-10-110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Чугун/сталь/п/э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</w:t>
            </w:r>
          </w:p>
        </w:tc>
      </w:tr>
    </w:tbl>
    <w:p w:rsidR="00CE2272" w:rsidRDefault="00CE2272" w:rsidP="00CE2272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1.3. Целевые показатели развития коммунальной инфраструктуры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Система приведенных в настоящем разделе целевых показателей составлена с учетом Приказов Минрегиона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и от 06.05.2011 г. № 204 «О разработке программ комплексного развития систем коммунальной инфраструктуры муниципальных образований».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Основными целевыми показателями в рамках настоящей Программы являются: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 надежность (бесперебойность) снабжения потребителей предоставляемыми услугами водоснабжения;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 доступность услуг водоснабжения;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 обеспечение экологических требований.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расчета целевых индикаторов приведены в части 2, в разделе 2.5. «Целевые показатели развития коммунальной инфраструктуры».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Количественные показатели нормативов-индикаторов Программы приведены ниже, в таблице № 3.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Таблица № 3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Количественные показатели нормативов-индикаторов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4580"/>
        <w:gridCol w:w="631"/>
        <w:gridCol w:w="1800"/>
      </w:tblGrid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Целевые индикаторы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Значение норматива-индикатора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</w:tr>
      <w:tr w:rsidR="00CE2272" w:rsidTr="00CE22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 Надежность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1.1.Коэффициент аварийности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ав/км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0.4-0.5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1.2. Среднее время ликвидации аварии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0.3-0.4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1.3. Количество аварий на 1 км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шт/км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0.4-0.5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1.4. Показатели движения ОФ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sz w:val="20"/>
                <w:szCs w:val="20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1.4.1. Коэффициент износа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1.4.2.Коэффициент годности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1.4.3.Коэффициент обновления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1.4.4.Коэффициент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1.5.Объем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sz w:val="20"/>
                <w:szCs w:val="20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1.5.1.Выработка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т.м</w:t>
            </w:r>
            <w:r>
              <w:rPr>
                <w:color w:val="21212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1.5.2.Собственные нужды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т.м</w:t>
            </w:r>
            <w:r>
              <w:rPr>
                <w:color w:val="21212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1.5.3.Потери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12-20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1.5.4.Полезный отпуск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т.м</w:t>
            </w:r>
            <w:r>
              <w:rPr>
                <w:color w:val="21212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  <w:tr w:rsidR="00CE2272" w:rsidTr="00CE22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2. Доступность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2.1.Доля расходов на коммунальные услуги в совокупном доходе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6.3-7.2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2.2.Доля населения с доходами ниже прожиточного минимума,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8-12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2.3.Доля получателей субсидий на оплату коммунальных услуг в общей численности населения,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10-15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2.4.Уровень собираемости платежей за коммунальные услуги,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85-95</w:t>
            </w:r>
          </w:p>
        </w:tc>
      </w:tr>
      <w:tr w:rsidR="00CE2272" w:rsidTr="00CE22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3. Обеспечение экологических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3.1.Соответствие нормам СанПиНа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уст. нормы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3.2. Соответствие установленным нормам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уст. нормы</w:t>
            </w:r>
          </w:p>
        </w:tc>
      </w:tr>
    </w:tbl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1.4. Программы инвестиционных проектов, обеспечивающих достижение целевых показателей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Период действия настоящей Программы составляет 5 лет: с 2015 г. по 2020 г.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Мероприятия Программы являются основой для формирования инвестиционных проектов организаций коммунального комплекса.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Ниже, в таблице № 4 приведены основные параметры инвестиционного проекта, предлагаемого к разработке.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Таблица № 4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Основные параметры инвестиционного проекта Программы</w:t>
      </w:r>
    </w:p>
    <w:p w:rsidR="00CE2272" w:rsidRDefault="00CE2272" w:rsidP="00CE2272">
      <w:pPr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921"/>
      </w:tblGrid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</w:t>
            </w:r>
          </w:p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проекта</w:t>
            </w:r>
          </w:p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Основные</w:t>
            </w:r>
          </w:p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Инвестиционный проект в водоснабжении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Цели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Повышение качества водоснабжения, соблюдение требований законодательства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Технические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 Установка приборов учета подъема воды.</w:t>
            </w:r>
          </w:p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3. Модернизация 1,8 п.км. трубопровода.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Ожидаемые эффекты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Снижение непроизводительных потерь воды, снижение аварийности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Сроки получения эффектов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2021 г.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Срок окупаемости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5 лет</w:t>
            </w:r>
          </w:p>
        </w:tc>
      </w:tr>
    </w:tbl>
    <w:p w:rsidR="00CE2272" w:rsidRDefault="00CE2272" w:rsidP="00CE2272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1.5. Источники инвестиций, тарифы и доступность программы для населения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данном разделе приведен алгоритм расчета объема финансирования Программы.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1.5.1. Источники инвестиций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В Программе предполагается участие двух инвесторов: местный бюджет и организация коммунального комплекса. В таблице № 5 приведен расчет объема финансирования исходя из внебюджетных источников и средств местного бюджета.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Таблица № 5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объема финансирования Программы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 тыс. руб.</w:t>
      </w:r>
    </w:p>
    <w:p w:rsidR="00CE2272" w:rsidRDefault="00CE2272" w:rsidP="00CE2272">
      <w:pPr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58"/>
        <w:gridCol w:w="1255"/>
        <w:gridCol w:w="1255"/>
        <w:gridCol w:w="1255"/>
        <w:gridCol w:w="1255"/>
        <w:gridCol w:w="533"/>
      </w:tblGrid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Источники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2016-2017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2017-2018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2018-2019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2019-2020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Всего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Водоснабжение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0.0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Внебюджетные источники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1190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собственные средства ОКК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прочие инвестиции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1190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CE2272" w:rsidRDefault="00CE2272" w:rsidP="00CE2272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2. Обосновывающие материалы к программному документу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06.05.2011г. №204, настоящая часть программы является обоснованием предложений по выполнению мероприятий, необходимых для дальнейшего развития систем коммунальной инфраструктуры Парижскокоммунского сельского поселения в период 2015-2020 г.г. Разделы, включенные в эту часть, раскрывают суть положений, представленных в первой части Программы – «Программные документы».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2.1. Характеристика состояния и проблем системы водоснабжения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целом система водоснабжения Парижскокоммунского сельского поселения, как указано в разделе 1.2. настоящей Программы, характеризуется высокой степенью износа основных фондов, которая обуславливает повышенную аварийность системы.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Кроме того, в нарушение Федерального закона от 29.11.2009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поселении не производится приборный учет объемов воды поднимаемой из скважин и поставляемой потребителям.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указывалось выше, главной задачей настоящей Программы является приведение системы водообеспечения потребителей Парижскокоммунского сельского поселения в соответствие с требованиями действующего законодательства. Кроме того, система водоснабжения нуждается в капитальном ремонте и модернизации, что должно осуществляться при реализации производственных и инвестиционных программ.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Исходя из поставленных задач, Программа предусматривает мероприятия, приведенные в таблице № 6.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Таблица № 6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Мероприятия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105"/>
        <w:gridCol w:w="1172"/>
        <w:gridCol w:w="6"/>
        <w:gridCol w:w="3638"/>
      </w:tblGrid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Ориентировочная сметная стоимость т.руб.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Сроки проведения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Обоснование необходимости выполнения мероприятий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</w:tr>
      <w:tr w:rsidR="00CE2272" w:rsidTr="00CE227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Водоснабжение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Установка приборов учета подъема воды на 1 скважине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2015 г.- 2020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Выполнение требований законодательства (федерального закона от 23.11.2009г. № 261-ФЗ)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Модернизация 0.6 п.км. сетей с заменой труб на полиэтиленовые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2016 г.- 2017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Модернизация 0.8 п.км. сетей с заменой труб на полиэтиленовые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2017 г.- 2018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Модернизация 0.4 п.км. сетей с заменой труб на полиэтиленовые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2018 г.- 2019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sz w:val="20"/>
                <w:szCs w:val="20"/>
              </w:rPr>
            </w:pPr>
          </w:p>
        </w:tc>
      </w:tr>
      <w:tr w:rsidR="00CE2272" w:rsidTr="00CE2272"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видно из таблицы № 6, настоящей Программой предусматривается выполнение мероприятий на общую сумму 750 тыс.руб.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стоимости мероприятий произведен исходя из рекомендаций Минрегионразвития РФ с применением государственных сметных нормативов строительства (Приказ Минрегионразвития РФ от 22.04.2011 г. № 187) с учетом прогнозируемых дефляторов.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Реализация указанных мероприятий позволит повысить надежность и качество предоставляемых услуг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2.2. Целевые показатели развития системы водоснабжения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Настоящий раздел представляет собой основу для формирования технического задания к инвестиционному проекту по водоснабжению.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Перед инвестиционным проектом по водоснабжению ставятся следующие основные цели: повышения качества водоснабжения, соблюдение экологических требований. Таким образом, достижение этих целей должно быть отображено следующими целевыми показателями: надежность, сбалансированность системы, доступность, обеспечение экологических требований.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разработке инвестиционной программы следует проанализировать следующие целевые индикаторы за период 2012-2014 годов: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 надежность (бесперебойность) снабжения потребителей услугой водоснабжения;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 доступность услуги водоснабжения для потребителей;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 обеспечение экологических требований.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Ниже показан порядок расчета целевых показателей, приведенных в таблице № 1 раздела 1.3.</w:t>
      </w:r>
    </w:p>
    <w:p w:rsidR="00CE2272" w:rsidRDefault="00CE2272" w:rsidP="00CE2272">
      <w:pPr>
        <w:pStyle w:val="3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2.2.1. Надежность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первых трех показателей (коэффициент аварийности, среднее время ликвидации аварий, количество аварий на 1 км сети) вытекает из указанных единиц измерения.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2.2.1.1. Расчет показателей движения основных фондов (ОФ) производится по приведенным ниже формулам: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коэффициент износа К</w:t>
      </w:r>
      <w:r>
        <w:rPr>
          <w:color w:val="212121"/>
          <w:sz w:val="16"/>
          <w:szCs w:val="16"/>
          <w:vertAlign w:val="subscript"/>
        </w:rPr>
        <w:t>из</w:t>
      </w:r>
      <w:r>
        <w:rPr>
          <w:color w:val="212121"/>
          <w:sz w:val="21"/>
          <w:szCs w:val="21"/>
        </w:rPr>
        <w:t> 100% (следует рассчитать коэффициент износа средний для всех ОФ и отдельно для сетей);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коэффициент годности К</w:t>
      </w:r>
      <w:r>
        <w:rPr>
          <w:color w:val="212121"/>
          <w:sz w:val="16"/>
          <w:szCs w:val="16"/>
          <w:vertAlign w:val="subscript"/>
        </w:rPr>
        <w:t>г</w:t>
      </w:r>
      <w:r>
        <w:rPr>
          <w:color w:val="212121"/>
          <w:sz w:val="21"/>
          <w:szCs w:val="21"/>
        </w:rPr>
        <w:t>= 100% - К</w:t>
      </w:r>
      <w:r>
        <w:rPr>
          <w:color w:val="212121"/>
          <w:sz w:val="16"/>
          <w:szCs w:val="16"/>
          <w:vertAlign w:val="subscript"/>
        </w:rPr>
        <w:t>из</w:t>
      </w:r>
      <w:r>
        <w:rPr>
          <w:color w:val="212121"/>
          <w:sz w:val="21"/>
          <w:szCs w:val="21"/>
        </w:rPr>
        <w:t>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коэффициент обновления К</w:t>
      </w:r>
      <w:r>
        <w:rPr>
          <w:color w:val="212121"/>
          <w:sz w:val="16"/>
          <w:szCs w:val="16"/>
          <w:vertAlign w:val="subscript"/>
        </w:rPr>
        <w:t>об</w:t>
      </w:r>
      <w:r>
        <w:rPr>
          <w:color w:val="212121"/>
          <w:sz w:val="21"/>
          <w:szCs w:val="21"/>
        </w:rPr>
        <w:t>= 100%;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коэффициент выбытия К</w:t>
      </w:r>
      <w:r>
        <w:rPr>
          <w:color w:val="212121"/>
          <w:sz w:val="16"/>
          <w:szCs w:val="16"/>
          <w:vertAlign w:val="subscript"/>
        </w:rPr>
        <w:t>в</w:t>
      </w:r>
      <w:r>
        <w:rPr>
          <w:color w:val="212121"/>
          <w:sz w:val="21"/>
          <w:szCs w:val="21"/>
        </w:rPr>
        <w:t>= 100%.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2.1.1.2. Динамика объема ресурса должна отображаться по следующим параметрам: полезный отпуск (в том числе населению и прочим потребителям), потери, собственные нужды.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2.2.2. Доступность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К показателям доступности относятся: доля расходов на коммунальные услуги в совокупном доходе семьи, доля населения, с доходами ниже прожиточного минимума, доля получателей субсидий на оплату коммунальных услуг в общей численности населения.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Показатели доступности ресурса для населения рассчитываются согласно Приказу Минрегиона РФ от 23.08.2010 г. № 378 «Об утверждении Методических указаний по расчету предельных индексов изменений размера платы граждан за коммунальные услуги».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2.2.3. Обеспечение экологических требований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Качественные и количественные показатели лабораторных анализов проб питьевой воды должны соответствовать: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§ Санитарно-эпидемиологическим правилам и нормативам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§ Гигиеническим нормативам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(с дополнениями и изменениями).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2.3. Мероприятия Программы по энергосбережению и повышению энергетической эффективности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все организации, осуществляющие снабжение водой, теплом, природным газом, электроэнергией, обязаны осуществлять деятельность по ресурсосбережению и повышению энергетической эффективности.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Настоящей Программой в инвестиционном проекте по водоснабжению предусмотрены мероприятия по энергосбережению и повышению энергетической эффективности. Эти мероприятия приведены в таблице № 9 с указанием ожидаемого эффекта от их реализации.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Таблица № 7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Мероприятия по энергосбережению и повышению энергетической эффективности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876"/>
        <w:gridCol w:w="1333"/>
        <w:gridCol w:w="2982"/>
      </w:tblGrid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Наименование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</w:t>
            </w:r>
          </w:p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Общая стоимость,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Ожидаемый эффект</w:t>
            </w:r>
          </w:p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энергосбережения от реализации</w:t>
            </w:r>
          </w:p>
        </w:tc>
      </w:tr>
      <w:tr w:rsidR="00CE2272" w:rsidTr="00CE22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</w:tr>
      <w:tr w:rsidR="00CE2272" w:rsidTr="00CE22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Инвестиционный проект по водоснабжению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Установка приборов учета на 1 скважине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Выполнение требований законодательства, упорядочение учета ресурса</w:t>
            </w:r>
          </w:p>
        </w:tc>
      </w:tr>
      <w:tr w:rsidR="00CE2272" w:rsidTr="00CE22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Модернизация трубопроводов водоснабжения общей протяженностью 0,4 п.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Снижение непроизводительных потерь воды</w:t>
            </w:r>
          </w:p>
        </w:tc>
      </w:tr>
      <w:tr w:rsidR="00CE2272" w:rsidTr="00CE22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272" w:rsidRDefault="00CE2272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видно из таблицы № 7, настоящей Программой предусматривается выполнение мероприятий по энергосбережению и повышению энергетической эффективности на общую сумму 40 тыс.руб.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:rsidR="00CE2272" w:rsidRDefault="00CE2272" w:rsidP="00CE2272">
      <w:pPr>
        <w:pStyle w:val="2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Раздел 2.6. Расчет эффективности внедрения мероприятий Программы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Бюджетная эффективность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Доходы бюджета связанные с реализацией программы, прежде всего, формируются за счет налоговых поступлений.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Ø налог на имущество;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Ø налог на доходы физических лиц;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Ø земельный налог;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Под социальной эффективностью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повышение уровня занятости населения;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сохранение здоровья и увеличение продолжительности жизни;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повышение образовательного уровня населения;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повышение культурного уровня населения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обеспечение социальной защиты отдельных категорий граждан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повышение социальной активности населения и обеспечение социальной стабильности в регионе и др.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улучшение экологической обстановки.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Экономическая эффективность проекта оценивается в течение расчетного периода, охватывающего временной интервал от начала проекта до срока окупаемости.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осуществляется путем оценки денежных потоков, связанных с реализацией проекта.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Денежный поток проекта это денежные поступления и расходы на реализацию проекта, определяемые по годам расчетного периода.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Денежный поток оценивается по всем доходам от реализации проекта и расходам.</w:t>
      </w:r>
    </w:p>
    <w:p w:rsidR="00CE2272" w:rsidRDefault="00CE2272" w:rsidP="00CE22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качестве показателей используемых для расчета экономической эффективности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E2272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2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2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E2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skommun.ru/documents/arhive_decision/detail.php?id=438602" TargetMode="External"/><Relationship Id="rId13" Type="http://schemas.openxmlformats.org/officeDocument/2006/relationships/hyperlink" Target="https://pariskommun.ru/documents/arhive_decision/detail.php?id=438602" TargetMode="External"/><Relationship Id="rId18" Type="http://schemas.openxmlformats.org/officeDocument/2006/relationships/hyperlink" Target="https://pariskommun.ru/documents/arhive_decision/detail.php?id=4386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ariskommun.ru/documents/arhive_decision/detail.php?id=438602" TargetMode="External"/><Relationship Id="rId7" Type="http://schemas.openxmlformats.org/officeDocument/2006/relationships/hyperlink" Target="https://pariskommun.ru/documents/arhive_decision/detail.php?id=438602" TargetMode="External"/><Relationship Id="rId12" Type="http://schemas.openxmlformats.org/officeDocument/2006/relationships/hyperlink" Target="https://pariskommun.ru/documents/arhive_decision/detail.php?id=438602" TargetMode="External"/><Relationship Id="rId17" Type="http://schemas.openxmlformats.org/officeDocument/2006/relationships/hyperlink" Target="https://pariskommun.ru/documents/arhive_decision/detail.php?id=438602" TargetMode="External"/><Relationship Id="rId25" Type="http://schemas.openxmlformats.org/officeDocument/2006/relationships/hyperlink" Target="https://pariskommun.ru/documents/arhive_decision/detail.php?id=438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riskommun.ru/documents/arhive_decision/detail.php?id=438602" TargetMode="External"/><Relationship Id="rId20" Type="http://schemas.openxmlformats.org/officeDocument/2006/relationships/hyperlink" Target="https://pariskommun.ru/documents/arhive_decision/detail.php?id=4386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riskommun.ru/documents/arhive_decision/detail.php?id=438602" TargetMode="External"/><Relationship Id="rId11" Type="http://schemas.openxmlformats.org/officeDocument/2006/relationships/hyperlink" Target="https://pariskommun.ru/documents/arhive_decision/detail.php?id=438602" TargetMode="External"/><Relationship Id="rId24" Type="http://schemas.openxmlformats.org/officeDocument/2006/relationships/hyperlink" Target="https://pariskommun.ru/documents/arhive_decision/detail.php?id=438602" TargetMode="External"/><Relationship Id="rId5" Type="http://schemas.openxmlformats.org/officeDocument/2006/relationships/hyperlink" Target="https://pariskommun.ru/documents/arhive_decision/detail.php?id=438602" TargetMode="External"/><Relationship Id="rId15" Type="http://schemas.openxmlformats.org/officeDocument/2006/relationships/hyperlink" Target="https://pariskommun.ru/documents/arhive_decision/detail.php?id=438602" TargetMode="External"/><Relationship Id="rId23" Type="http://schemas.openxmlformats.org/officeDocument/2006/relationships/hyperlink" Target="https://pariskommun.ru/documents/arhive_decision/detail.php?id=438602" TargetMode="External"/><Relationship Id="rId10" Type="http://schemas.openxmlformats.org/officeDocument/2006/relationships/hyperlink" Target="https://pariskommun.ru/documents/arhive_decision/detail.php?id=438602" TargetMode="External"/><Relationship Id="rId19" Type="http://schemas.openxmlformats.org/officeDocument/2006/relationships/hyperlink" Target="https://pariskommun.ru/documents/arhive_decision/detail.php?id=438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skommun.ru/documents/arhive_decision/detail.php?id=438602" TargetMode="External"/><Relationship Id="rId14" Type="http://schemas.openxmlformats.org/officeDocument/2006/relationships/hyperlink" Target="https://pariskommun.ru/documents/arhive_decision/detail.php?id=438602" TargetMode="External"/><Relationship Id="rId22" Type="http://schemas.openxmlformats.org/officeDocument/2006/relationships/hyperlink" Target="https://pariskommun.ru/documents/arhive_decision/detail.php?id=4386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2023-07-17T12:54:00Z</dcterms:created>
  <dcterms:modified xsi:type="dcterms:W3CDTF">2023-07-17T12:54:00Z</dcterms:modified>
</cp:coreProperties>
</file>